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黑体" w:hAnsi="Calibri" w:eastAsia="黑体" w:cs="黑体"/>
          <w:sz w:val="30"/>
          <w:szCs w:val="30"/>
          <w:lang w:val="en-US"/>
        </w:rPr>
      </w:pPr>
      <w:bookmarkStart w:id="0" w:name="_GoBack"/>
      <w:bookmarkEnd w:id="0"/>
      <w:r>
        <w:rPr>
          <w:rFonts w:hint="eastAsia" w:ascii="黑体" w:hAnsi="Calibri" w:eastAsia="黑体" w:cs="黑体"/>
          <w:kern w:val="2"/>
          <w:sz w:val="30"/>
          <w:szCs w:val="30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宋体"/>
          <w:kern w:val="0"/>
          <w:sz w:val="36"/>
          <w:szCs w:val="36"/>
          <w:lang w:val="en-US"/>
        </w:rPr>
      </w:pPr>
      <w:r>
        <w:rPr>
          <w:rFonts w:hint="eastAsia" w:ascii="黑体" w:hAnsi="宋体" w:eastAsia="黑体" w:cs="宋体"/>
          <w:kern w:val="0"/>
          <w:sz w:val="36"/>
          <w:szCs w:val="36"/>
          <w:lang w:val="en-US" w:eastAsia="zh-CN" w:bidi="ar"/>
        </w:rPr>
        <w:t>部门整体支出绩效目标及预算项目绩效目标表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黑体" w:hAnsi="Calibri" w:eastAsia="黑体" w:cs="黑体"/>
          <w:sz w:val="30"/>
          <w:szCs w:val="30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Calibri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Calibri" w:eastAsia="仿宋" w:cs="仿宋"/>
          <w:b/>
          <w:bCs w:val="0"/>
          <w:kern w:val="2"/>
          <w:sz w:val="28"/>
          <w:szCs w:val="28"/>
          <w:lang w:val="en-US" w:eastAsia="zh-CN" w:bidi="ar"/>
        </w:rPr>
        <w:t>部门整体支出绩效目标表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Calibri" w:eastAsia="仿宋" w:cs="仿宋"/>
          <w:b/>
          <w:bCs w:val="0"/>
          <w:sz w:val="24"/>
          <w:szCs w:val="24"/>
          <w:lang w:val="en-US"/>
        </w:rPr>
      </w:pPr>
      <w:r>
        <w:rPr>
          <w:rFonts w:hint="eastAsia" w:ascii="仿宋" w:hAnsi="Calibri" w:eastAsia="仿宋" w:cs="仿宋"/>
          <w:b/>
          <w:bCs w:val="0"/>
          <w:kern w:val="2"/>
          <w:sz w:val="24"/>
          <w:szCs w:val="24"/>
          <w:lang w:val="en-US" w:eastAsia="zh-CN" w:bidi="ar"/>
        </w:rPr>
        <w:t>（2024年度）</w:t>
      </w:r>
    </w:p>
    <w:tbl>
      <w:tblPr>
        <w:tblStyle w:val="6"/>
        <w:tblW w:w="9525" w:type="dxa"/>
        <w:tblInd w:w="0" w:type="dxa"/>
        <w:tblBorders>
          <w:top w:val="single" w:color="auto" w:sz="4" w:space="0"/>
          <w:left w:val="none" w:color="auto" w:sz="6" w:space="0"/>
          <w:bottom w:val="single" w:color="auto" w:sz="4" w:space="0"/>
          <w:right w:val="none" w:color="auto" w:sz="6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9"/>
        <w:gridCol w:w="703"/>
        <w:gridCol w:w="708"/>
        <w:gridCol w:w="1587"/>
        <w:gridCol w:w="1957"/>
        <w:gridCol w:w="42"/>
        <w:gridCol w:w="2000"/>
      </w:tblGrid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部门名称</w:t>
            </w:r>
          </w:p>
        </w:tc>
        <w:tc>
          <w:tcPr>
            <w:tcW w:w="7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中国农工民主党甘肃省委员会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总体目标</w:t>
            </w:r>
          </w:p>
        </w:tc>
        <w:tc>
          <w:tcPr>
            <w:tcW w:w="7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、调研：围绕农工党中央调研、中共甘肃省委政党协商、甘肃省政协协商要求，以及乡村振兴、黄河流域生态保护民主监督、省委会各专门工作委员会自主调研等工作，进行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调研约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次，完成调研报告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篇，完成率达到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95%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、社会服务：全年开展社会服务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次，完成率达到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95%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、会议：年内召开省委会全委会、常委会、参政议政会、主题教育启动会及其他会议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次，参会人员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150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人次，参会率达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95%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、培训：举办新党员培训班及省委会内部监督委员会暨思想建设培训班，共计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次，参加培训人员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100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人次，合格率达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95%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、编印《甘肃农工》杂志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期，质量合格率达到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98%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、省委会机关办公及日常运行。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预算情况（万元）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按支出类型分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预算金额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按来源类型分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基本支出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人员经费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226.51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当年财政拨款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公用经费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70.72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上年结转结余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297.23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其他资金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项目支出</w:t>
            </w:r>
          </w:p>
        </w:tc>
        <w:tc>
          <w:tcPr>
            <w:tcW w:w="15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收入预算合计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支出预算合计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372.23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一级指标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二级指标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三级指标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部门管理</w:t>
            </w: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资金投入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“三公经费”控制率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基本支出预算执行率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项目支出预算执行率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结转结余变动率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0%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资金使用规范性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财务管理制度健全性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采购管理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政府采购规范性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人员管理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在职人员控制率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重点工作管理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重点工作管理制度健全性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资产管理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资产管理规范性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履职效果</w:t>
            </w: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部门履职目标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开展调研次数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编印《甘肃农工》杂志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=4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期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开展社会服务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完成调研报告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篇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参加培训人数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100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参加会议人数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300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举办培训次数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举办会议次数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部门效果目标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培训合格率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会议参会率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调研完成率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编印《甘肃农工》质量合格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98%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社会服务完成率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社会影响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建言献策有效率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80%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培训人员参政议政能力提升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有效提升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调研成果转化率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90%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服务对象满意度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党员读者满意度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参会人员满意度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社会服务满意度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培训人员满意度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能力建设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长效管理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机关制度建设完备程度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人力资源建设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机关干部队伍建设情况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=100%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档案管理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档案管理建设完备程度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=100%</w:t>
            </w:r>
          </w:p>
        </w:tc>
      </w:tr>
    </w:tbl>
    <w:p>
      <w:pPr>
        <w:rPr>
          <w:rFonts w:hint="eastAsia" w:ascii="仿宋" w:hAnsi="微软雅黑" w:eastAsia="仿宋" w:cs="Times New Roman"/>
          <w:kern w:val="2"/>
          <w:sz w:val="18"/>
          <w:szCs w:val="18"/>
          <w:lang w:val="en-US" w:eastAsia="zh-CN" w:bidi="ar"/>
        </w:rPr>
        <w:sectPr>
          <w:pgSz w:w="11906" w:h="16838"/>
          <w:pgMar w:top="1135" w:right="1135" w:bottom="1135" w:left="1135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Calibri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Calibri" w:eastAsia="仿宋" w:cs="仿宋"/>
          <w:b/>
          <w:bCs w:val="0"/>
          <w:kern w:val="2"/>
          <w:sz w:val="28"/>
          <w:szCs w:val="28"/>
          <w:lang w:val="en-US" w:eastAsia="zh-CN" w:bidi="ar"/>
        </w:rPr>
        <w:t>项目支出绩效目标表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Calibri" w:eastAsia="仿宋" w:cs="仿宋"/>
          <w:b/>
          <w:bCs w:val="0"/>
          <w:sz w:val="24"/>
          <w:szCs w:val="24"/>
          <w:lang w:val="en-US"/>
        </w:rPr>
      </w:pPr>
      <w:r>
        <w:rPr>
          <w:rFonts w:hint="eastAsia" w:ascii="仿宋" w:hAnsi="Calibri" w:eastAsia="仿宋" w:cs="仿宋"/>
          <w:b/>
          <w:bCs w:val="0"/>
          <w:kern w:val="2"/>
          <w:sz w:val="24"/>
          <w:szCs w:val="24"/>
          <w:lang w:val="en-US" w:eastAsia="zh-CN" w:bidi="ar"/>
        </w:rPr>
        <w:t>（2024年度）</w:t>
      </w:r>
    </w:p>
    <w:tbl>
      <w:tblPr>
        <w:tblStyle w:val="6"/>
        <w:tblW w:w="9525" w:type="dxa"/>
        <w:tblInd w:w="0" w:type="dxa"/>
        <w:tblBorders>
          <w:top w:val="single" w:color="auto" w:sz="4" w:space="0"/>
          <w:left w:val="none" w:color="auto" w:sz="6" w:space="0"/>
          <w:bottom w:val="single" w:color="auto" w:sz="4" w:space="0"/>
          <w:right w:val="none" w:color="auto" w:sz="6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2"/>
        <w:gridCol w:w="1326"/>
        <w:gridCol w:w="1460"/>
        <w:gridCol w:w="1466"/>
        <w:gridCol w:w="2042"/>
      </w:tblGrid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7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主委特别费、培训费、调研费、业务费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主管部门及代码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407-中国农工民主党甘肃省委员会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实施单位</w:t>
            </w:r>
          </w:p>
        </w:tc>
        <w:tc>
          <w:tcPr>
            <w:tcW w:w="3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项目金额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年度资金总额：</w:t>
            </w:r>
          </w:p>
        </w:tc>
        <w:tc>
          <w:tcPr>
            <w:tcW w:w="4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75.00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其中：当年财政拨款</w:t>
            </w:r>
          </w:p>
        </w:tc>
        <w:tc>
          <w:tcPr>
            <w:tcW w:w="4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75.00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          </w:t>
            </w: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上年结转资金</w:t>
            </w:r>
          </w:p>
        </w:tc>
        <w:tc>
          <w:tcPr>
            <w:tcW w:w="4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           </w:t>
            </w: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其他资金</w:t>
            </w:r>
          </w:p>
        </w:tc>
        <w:tc>
          <w:tcPr>
            <w:tcW w:w="4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总体目标</w:t>
            </w:r>
          </w:p>
        </w:tc>
        <w:tc>
          <w:tcPr>
            <w:tcW w:w="7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、调研：围绕农工党中央调研、中共甘肃省委政党协商、甘肃省政协协商要求，以及乡村振兴、黄河流域生态保护民主监督、省委会各专门工作委员会自主调研等工作，进行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调研约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次，完成调研报告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篇，完成率达到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95%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、社会服务：全年开展社会服务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次，完成率达到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95%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、会议：年内召开省委会全委会、常委会、参政议政会、主题教育启动会及其他会议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次，参会人员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150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人次，参会率达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95%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、培训：举办新党员培训班及省委会内部监督委员会暨思想建设培训班，共计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次，参加培训人员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100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人次，合格率达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95%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、编印《甘肃农工》杂志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期，质量合格率达到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98%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、省委会机关办公及日常运行。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一级指标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二级指标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三级指标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18"/>
                <w:szCs w:val="18"/>
                <w:lang w:val="en-US" w:eastAsia="zh-CN" w:bidi="ar"/>
              </w:rPr>
              <w:t>指标目标值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产出指标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数量指标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维护网站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=2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会议参会人次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300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开展社会服务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编印《甘肃农工》杂志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=4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期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完成调研报告数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篇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开展培训次数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参加培训人次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100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举办会议次数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开展调研次数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次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质量指标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培训合格率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调研完成率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社会服务完成率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编印《甘肃农工》质量合格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98%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会议参会率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时效指标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培训及时性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会议召开及时性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调研及时性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培训时长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天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网站维护及时性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效益指标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社会效益指标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培训人员参政议政能力提升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有效提升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建言献策有效率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80%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调研成果转化率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90%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满意度指标</w:t>
            </w: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服务对象满意度指标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培训人员满意度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社会服务满意度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党员读者满意度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参会人员满意度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≥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95%</w:t>
            </w:r>
          </w:p>
        </w:tc>
      </w:tr>
      <w:tr>
        <w:tblPrEx>
          <w:tblBorders>
            <w:top w:val="single" w:color="auto" w:sz="4" w:space="0"/>
            <w:left w:val="none" w:color="auto" w:sz="6" w:space="0"/>
            <w:bottom w:val="single" w:color="auto" w:sz="4" w:space="0"/>
            <w:right w:val="none" w:color="auto" w:sz="6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成本指标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经济成本指标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经济成本指标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≤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"/>
              </w:rPr>
              <w:t>75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18"/>
                <w:lang w:val="en-US" w:eastAsia="zh-CN" w:bidi="ar"/>
              </w:rPr>
              <w:t>万元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微软雅黑" w:eastAsia="仿宋" w:cs="仿宋"/>
          <w:sz w:val="18"/>
          <w:szCs w:val="18"/>
          <w:lang w:val="en-US"/>
        </w:r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mFhMGQxNWVlYzg5YTJiNzhlYjlmYmEzMzY4NzcifQ=="/>
  </w:docVars>
  <w:rsids>
    <w:rsidRoot w:val="5DD97F6F"/>
    <w:rsid w:val="01C20073"/>
    <w:rsid w:val="102E1015"/>
    <w:rsid w:val="5DD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autoRedefine/>
    <w:qFormat/>
    <w:uiPriority w:val="0"/>
    <w:rPr>
      <w:sz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页脚 Char"/>
    <w:basedOn w:val="7"/>
    <w:link w:val="4"/>
    <w:autoRedefine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标题 1 Char"/>
    <w:basedOn w:val="7"/>
    <w:link w:val="2"/>
    <w:autoRedefine/>
    <w:qFormat/>
    <w:uiPriority w:val="0"/>
    <w:rPr>
      <w:rFonts w:hint="default" w:ascii="Times New Roman" w:hAnsi="Times New Roman" w:cs="Times New Roman"/>
      <w:b/>
      <w:kern w:val="44"/>
      <w:sz w:val="44"/>
      <w:szCs w:val="44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2024-02-23T04:37:00Z</dcterms:created>
  <dc:creator>塞漠川人</dc:creator>
  <cp:lastModifiedBy>塞漠川人</cp:lastModifiedBy>
  <dcterms:modified xsi:type="dcterms:W3CDTF">2024-02-23T04:41:04Z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77D37863CD0042A1B050CD3BEC932C97_13</vt:lpwstr>
  </property>
</Properties>
</file>